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SchleusV — Durchführungsregelung</w:t>
      </w:r>
    </w:p>
    <w:p>
      <w:r>
        <w:rPr>
          <w:color w:val="555555"/>
          <w:sz w:val="18"/>
        </w:rPr>
        <w:t xml:space="preserve">Schleusenbetriebsverordnung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Durchführung dieser Verordnung obliegt den zuständigen Behörden der Wasser- und Schifffahrtsverwaltung des Bundes. Sie können zur Aufrechterhaltung eines ordnungsgemäßen Betriebsablaufs Einzelweisungen erteilen. Sie sind ermächtigt, von Vorschriften dieser Verordnung im Einzelfall zu befreien.</w:t>
      </w:r>
    </w:p>
    <w:p>
      <w:r>
        <w:rPr>
          <w:color w:val="555555"/>
          <w:sz w:val="17"/>
        </w:rPr>
        <w:t xml:space="preserve">Zitiervorschlag: § 12 SchleusV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https://recht.nulegal.eu/gesetze/SchleusV/12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