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SchildlV</w:t>
      </w:r>
    </w:p>
    <w:p>
      <w:r>
        <w:rPr>
          <w:color w:val="555555"/>
          <w:sz w:val="18"/>
        </w:rPr>
        <w:t xml:space="preserve">Verordnung zur Bekämpfung der San-Jose-Schildlaus</w:t>
      </w:r>
    </w:p>
    <w:p>
      <w:r>
        <w:rPr>
          <w:color w:val="555555"/>
          <w:sz w:val="18"/>
        </w:rPr>
        <w:t xml:space="preserve">Historische Fassung: Stand 10.06.2019 bis 19.10.2023. Dies ist nicht die aktuelle Fassung.</w:t>
      </w:r>
    </w:p>
    <w:p>
      <w:r>
        <w:t xml:space="preserve">Unberührt bleibt die Befugnis der Landesregierungen, durch Rechtsverordnung nach § 3 Abs. 3 des Pflanzenschutzgesetzes ergänzende und weitergehende Vorschriften zur Bekämpfung der San-Jose-Schildlaus zu erlassen und diese Befugnis weiter zu übertragen.</w:t>
      </w:r>
    </w:p>
    <w:p>
      <w:r>
        <w:rPr>
          <w:color w:val="555555"/>
          <w:sz w:val="17"/>
        </w:rPr>
        <w:t xml:space="preserve">Zitiervorschlag: § 9 SchildlV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https://recht.nulegal.eu/gesetze/SchildlV/9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