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SchildlV</w:t>
      </w:r>
    </w:p>
    <w:p>
      <w:r>
        <w:rPr>
          <w:color w:val="555555"/>
          <w:sz w:val="18"/>
        </w:rPr>
        <w:t xml:space="preserve">Verordnung zur Bekämpfung der San-Jose-Schildlaus</w:t>
      </w:r>
    </w:p>
    <w:p>
      <w:r>
        <w:rPr>
          <w:color w:val="555555"/>
          <w:sz w:val="18"/>
        </w:rPr>
        <w:t xml:space="preserve">Historische Fassung: Stand 10.06.2019 bis 19.10.2023. Dies ist nicht die aktuelle Fassung.</w:t>
      </w:r>
    </w:p>
    <w:p>
      <w:r>
        <w:t xml:space="preserve">Die zuständige Behörde hebt die Abgrenzungen nach § 2 auf, wenn sie bei einer erneuten Untersuchung keinen Befall feststellt.</w:t>
      </w:r>
    </w:p>
    <w:p>
      <w:r>
        <w:rPr>
          <w:color w:val="555555"/>
          <w:sz w:val="17"/>
        </w:rPr>
        <w:t xml:space="preserve">Zitiervorschlag: § 6 SchildlV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https://recht.nulegal.eu/gesetze/SchildlV/6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