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SchildlV</w:t>
      </w:r>
    </w:p>
    <w:p>
      <w:r>
        <w:rPr>
          <w:color w:val="555555"/>
          <w:sz w:val="18"/>
        </w:rPr>
        <w:t xml:space="preserve">Verordnung zur Bekämpfung der San-Jose-Schildlaus</w:t>
      </w:r>
    </w:p>
    <w:p>
      <w:r>
        <w:rPr>
          <w:color w:val="555555"/>
          <w:sz w:val="18"/>
        </w:rPr>
        <w:t xml:space="preserve">Historische Fassung: Stand 10.06.2019 bis 19.10.2023. Dies ist nicht die aktuelle Fassung.</w:t>
      </w:r>
    </w:p>
    <w:p>
      <w:r>
        <w:t xml:space="preserve">(1) Verfügungsberechtigte und Besitzer von Wirtspflanzen außer Früchten und Samen sind verpflichtet, der zuständigen Behörde das Auftreten und den Verdacht des Auftretens der San-Jose-Schildlaus (Quadraspidiotus perniciosus Comst.) unter Angabe des Standorts unverzüglich zu melden.</w:t>
      </w:r>
    </w:p>
    <w:p>
      <w:r>
        <w:t xml:space="preserve">(2) Wer Wirtspflanzen gewerbsmäßig anzieht oder vertreibt, ist verpflichtet, diese Pflanzen unter Angabe der Art und des Standorts oder Lagerorts der zuständigen Behörde zu melden, soweit sie eine solche Meldung anordnet.</w:t>
      </w:r>
    </w:p>
    <w:p>
      <w:r>
        <w:t xml:space="preserve">(3) Wirtspflanzen sind Pflanzen der Gattungen Acer L., Cotoneaster Ehrh., Crataegus L., Cydonia Mill., Euonymus L., Fagus L., Juglans L., Ligustrum L., Malus Mill., Populus L., Prunus L., Pyrus L., Ribes L., Rosa L., Salix L., Sorbus L., Syringa L., Tilia L., Ulmus L. und Vitis L..</w:t>
      </w:r>
    </w:p>
    <w:p>
      <w:r>
        <w:rPr>
          <w:color w:val="555555"/>
          <w:sz w:val="17"/>
        </w:rPr>
        <w:t xml:space="preserve">Zitiervorschlag: § 1 SchildlV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https://recht.nulegal.eu/gesetze/SchildlV/1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