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SchiffsBelWertV</w:t>
      </w:r>
    </w:p>
    <w:p>
      <w:r>
        <w:rPr>
          <w:color w:val="555555"/>
          <w:sz w:val="18"/>
        </w:rPr>
        <w:t xml:space="preserve">Schiffsbeleihungswertermittlungsverordnung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24 Abs. 5 Satz 1 und 2 des Pfandbriefgesetzes vom 22. Mai 2005 (BGBl. I S. 1373) in Verbindung mit § 1 Nr. 4 der Verordnung zur Übertragung von Befugnissen zum Erlass von Rechtsverordnungen auf die Bundesanstalt für Finanzdienstleistungsaufsicht vom 13. Dezember 2002 (BGBl. 2003 I S. 3), § 1 Nr. 4 zuletzt geändert durch Artikel 7 Nr. 1 des Gesetzes vom 22. Juni 2005 (BGBl. I S. 1698), verordnet die Bundesanstalt für Finanzdienstleistungsaufsicht im Einvernehmen mit dem Bundesministerium der Justiz nach Anhörung der Spitzenverbände der Kreditwirtschaft:</w:t>
      </w:r>
    </w:p>
    <w:p>
      <w:r>
        <w:rPr>
          <w:color w:val="555555"/>
          <w:sz w:val="17"/>
        </w:rPr>
        <w:t xml:space="preserve">Zitiervorschlag: Eingangsformel SchiffsBelWertV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https://recht.nulegal.eu/gesetze/SchiffsBelWertV/eingangsformel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