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SchiffsBelWertV — Unabhängigkeit des Gutachters</w:t>
      </w:r>
    </w:p>
    <w:p>
      <w:r>
        <w:rPr>
          <w:color w:val="555555"/>
          <w:sz w:val="18"/>
        </w:rPr>
        <w:t xml:space="preserve">Schiffsbeleihungswertermittlungsverordnung</w:t>
      </w:r>
    </w:p>
    <w:p>
      <w:r>
        <w:rPr>
          <w:color w:val="555555"/>
          <w:sz w:val="18"/>
        </w:rPr>
        <w:t xml:space="preserve">Stand: 10.06.2019 (konsolidierte Textfassung, kein amtliches Inkrafttretensdatum)</w:t>
      </w:r>
    </w:p>
    <w:p>
      <w:r>
        <w:t xml:space="preserve">(1) Der Gutachter muss sowohl vom Kreditakquisitions- und Kreditentscheidungsprozess als auch von Vermittlung, Verkauf, Vermietung und Vercharterung des zu bewertenden Schiffes unabhängig sein. Er darf nicht in einem verwandtschaftlichen, sonstigen rechtlichen oder wirtschaftlichen Verhältnis zum Darlehensnehmer stehen und darf kein eigenes Interesse am Ergebnis des Gutachtens haben. Der Gutachter darf auch nicht den Beleihungswert festsetzen oder den Kredit bearbeiten. Die Sätze 1 bis 3 gelten auch für anerkannte Schätzer, Broker oder technische Sachverständige, auf deren Schätzung oder Besichtigungsbericht im Gutachten Bezug genommen wird.</w:t>
      </w:r>
    </w:p>
    <w:p>
      <w:r>
        <w:t xml:space="preserve">(2) Gutachten von bei der Pfandbriefbank angestellten Gutachtern dürfen nur dann der Schiffsbeleihungswertermittlung zugrunde gelegt werden, wenn die betreffenden Gutachter im Rahmen der Aufbauorganisation der Pfandbriefbank nur der Geschäftsleitung verantwortlich sind oder ausschließlich Teil einer Gutachtereinheit sind, die unmittelbar der Geschäftsleitung unterstellt ist, oder Teil einer alle betreffenden Gutachter zusammenfassenden Einheit und auch im Übrigen bis einschließlich der Ebene der Geschäftsleitung nicht einem Bereich der Pfandbriefbank zugeordnet sind, in dem Schiffskreditgeschäfte entweder angebahnt oder zum Gegenstand des einzigen Votums gemacht werden.</w:t>
      </w:r>
    </w:p>
    <w:p>
      <w:r>
        <w:rPr>
          <w:color w:val="555555"/>
          <w:sz w:val="17"/>
        </w:rPr>
        <w:t xml:space="preserve">Zitiervorschlag: § 8 SchiffsBelWertV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https://recht.nulegal.eu/gesetze/SchiffsBelWertV/8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