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SchiffsBelWertV — Gutachter</w:t>
      </w:r>
    </w:p>
    <w:p>
      <w:r>
        <w:rPr>
          <w:color w:val="555555"/>
          <w:sz w:val="18"/>
        </w:rPr>
        <w:t xml:space="preserve">Schiffsbeleihungswertermittlungsverordnung</w:t>
      </w:r>
    </w:p>
    <w:p>
      <w:r>
        <w:rPr>
          <w:color w:val="555555"/>
          <w:sz w:val="18"/>
        </w:rPr>
        <w:t xml:space="preserve">Stand: 10.06.2019 (konsolidierte Textfassung, kein amtliches Inkrafttretensdatum)</w:t>
      </w:r>
    </w:p>
    <w:p>
      <w:r>
        <w:t xml:space="preserve">(1) Der Gutachter muss nach seiner Ausbildung und beruflichen Tätigkeit über besondere Kenntnisse und Erfahrungen auf dem Gebiet der Bewertung von Schiffen verfügen. Bei der Auswahl des Gutachters hat sich die Pfandbriefbank davon zu überzeugen, dass der Gutachter neben langjähriger Berufserfahrung in der Bewertung von Schiffen speziell über die zur Erstellung von Schiffsbeleihungswert-Gutachten notwendigen Kenntnisse, insbesondere bezüglich des Schiffsmarkts, verfügt.</w:t>
      </w:r>
    </w:p>
    <w:p>
      <w:r>
        <w:t xml:space="preserve">(2) Wenn der Gutachter die Besichtigung nicht selbst vornimmt, ist eine technische oder ingenieurmäßige Berufsausbildung nicht erforderlich.</w:t>
      </w:r>
    </w:p>
    <w:p>
      <w:r>
        <w:rPr>
          <w:color w:val="555555"/>
          <w:sz w:val="17"/>
        </w:rPr>
        <w:t xml:space="preserve">Zitiervorschlag: § 7 SchiffsBelWertV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https://recht.nulegal.eu/gesetze/SchiffsBelWertV/7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