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SchiffsBelWertV — Gutachten</w:t>
      </w:r>
    </w:p>
    <w:p>
      <w:r>
        <w:rPr>
          <w:color w:val="555555"/>
          <w:sz w:val="18"/>
        </w:rPr>
        <w:t xml:space="preserve">Schiffsbeleihungswertermittlungsverordnung</w:t>
      </w:r>
    </w:p>
    <w:p>
      <w:r>
        <w:rPr>
          <w:color w:val="555555"/>
          <w:sz w:val="18"/>
        </w:rPr>
        <w:t xml:space="preserve">Stand: 10.06.2019 (konsolidierte Textfassung, kein amtliches Inkrafttretensdatum)</w:t>
      </w:r>
    </w:p>
    <w:p>
      <w:r>
        <w:t xml:space="preserve">(1) Der Schiffsbeleihungswert ist mittels eines Gutachtens zu ermitteln.</w:t>
      </w:r>
    </w:p>
    <w:p>
      <w:r>
        <w:t xml:space="preserve">(2) Das Gutachten muss durch einen oder mehrere Gutachter erstellt werden, die von der Pfandbriefbank allgemein oder von Fall zu Fall bestimmt werden. In besonderen Fällen, etwa im Rahmen von Kooperationen oder bei Portfoliokäufen, können für andere Kreditinstitute erstellte Gutachten zugrunde gelegt werden, wenn</w:t>
      </w:r>
    </w:p>
    <w:p>
      <w:pPr>
        <w:ind w:left="420"/>
      </w:pPr>
      <w:r>
        <w:t xml:space="preserve">1. diese Gutachten den Bestimmungen dieser Verordnung entsprechen,</w:t>
      </w:r>
    </w:p>
    <w:p>
      <w:pPr>
        <w:ind w:left="420"/>
      </w:pPr>
      <w:r>
        <w:t xml:space="preserve">2. ein nicht mit der Kreditentscheidung befasster, fachlich kundiger Mitarbeiter der Pfandbriefbank eine Plausibilitätsprüfung, auch im Hinblick auf die einzelnen angesetzten Bewertungsparameter, durchführt und</w:t>
      </w:r>
    </w:p>
    <w:p>
      <w:pPr>
        <w:ind w:left="420"/>
      </w:pPr>
      <w:r>
        <w:t xml:space="preserve">3. das Ergebnis der Plausibilitätsprüfung dokumentiert wird.</w:t>
      </w:r>
    </w:p>
    <w:p>
      <w:r>
        <w:t xml:space="preserve">Gutachten, die vom Darlehensnehmer oder Schiffseigentümer vorgelegt oder in Auftrag gegeben worden sind, dürfen nicht zugrunde gelegt werden.</w:t>
      </w:r>
    </w:p>
    <w:p>
      <w:r>
        <w:t xml:space="preserve">(3) Im Gutachten ist auf die in § 4 genannten Parameter einzugehen.</w:t>
      </w:r>
    </w:p>
    <w:p>
      <w:r>
        <w:t xml:space="preserve">(4) Im Gutachten sind der Schiffstyp und seine praktische Verwendbarkeit, insbesondere hinsichtlich Fahrtbereich, Einsatzmöglichkeit und Ladefähigkeit, unter Berücksichtigung der vorhandenen Ausrüstung, insbesondere in Bezug auf Lade- und Löscheinrichtungen, darzustellen. Auf Vorzüge und Mängel des Schiffes ist hinzuweisen.</w:t>
      </w:r>
    </w:p>
    <w:p>
      <w:r>
        <w:t xml:space="preserve">(5) Bei der Ermittlung des aktuellen Marktwerts und des durchschnittlichen Marktwerts der letzten zehn Jahre kann das Gutachten auf die Schätzung eines im Bereich der Schiffswertermittlung tätigen und anerkannten Brokers oder Schätzers Bezug nehmen. Falls eine Besichtigung durch einen anerkannten technischen Sachverständigen vorgenommen worden ist, kann das Gutachten auch auf den Besichtigungsbericht Bezug nehmen.</w:t>
      </w:r>
    </w:p>
    <w:p>
      <w:r>
        <w:rPr>
          <w:color w:val="555555"/>
          <w:sz w:val="17"/>
        </w:rPr>
        <w:t xml:space="preserve">Zitiervorschlag: § 5 SchiffsBelWertV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https://recht.nulegal.eu/gesetze/SchiffsBelWertV/5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