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SchiffsBelWertV — Verfahren zur Ermittlung von Beleihungswerten für Schiffe und Schiffsbauwerke</w:t>
      </w:r>
    </w:p>
    <w:p>
      <w:r>
        <w:rPr>
          <w:color w:val="555555"/>
          <w:sz w:val="18"/>
        </w:rPr>
        <w:t xml:space="preserve">Schiffsbeleihungswertermittlungsverordnung</w:t>
      </w:r>
    </w:p>
    <w:p>
      <w:r>
        <w:rPr>
          <w:color w:val="555555"/>
          <w:sz w:val="18"/>
        </w:rPr>
        <w:t xml:space="preserve">Stand: 10.06.2019 (konsolidierte Textfassung, kein amtliches Inkrafttretensdatum)</w:t>
      </w:r>
    </w:p>
    <w:p>
      <w:r>
        <w:t xml:space="preserve">(1) Zur Ermittlung des Schiffsbeleihungswerts für ein Schiff sind der aktuelle Marktwert (§ 9), der durchschnittliche Marktwert der letzten zehn Jahre (§ 10) und der Neubaupreis (§ 11) oder Kaufpreis (§ 12) des zu bewertenden Schiffes zu ermitteln.</w:t>
      </w:r>
    </w:p>
    <w:p>
      <w:r>
        <w:t xml:space="preserve">(2) Der Schiffsbeleihungswert darf weder den aktuellen Marktwert des Schiffes noch den durchschnittlichen Marktwert der letzten zehn Jahre übersteigen. Sind Marktwerte nur für einen kürzeren Zeitraum als zehn Jahre verfügbar, ist der durchschnittliche Marktwert für diesen kürzeren Zeitraum zu ermitteln; in diesen Fällen ist Satz 1 mit der Maßgabe anzuwenden, dass der aktuelle Marktwert um 15 Prozent zu mindern ist; lässt sich der durchschnittliche Marktwert nur für drei oder weniger Jahre ermitteln, beträgt dieser Abschlag mindestens 25 Prozent.</w:t>
      </w:r>
    </w:p>
    <w:p>
      <w:r>
        <w:t xml:space="preserve">(3) Bei Schiffsneubauten stellt der Neubaupreis eine weitere Obergrenze für den Schiffsbeleihungswert dar. Bei Schiffsankäufen darf der Schiffsbeleihungswert den Kaufpreis nicht übersteigen.</w:t>
      </w:r>
    </w:p>
    <w:p>
      <w:r>
        <w:t xml:space="preserve">(4) Ist ein aktueller Marktwert nicht verfügbar oder ist ein durchschnittlicher Marktwert eines gleichartigen Schiffes nicht zu ermitteln, ist ein anderes angemessenes Verfahren anzuwenden. In diesen Fällen darf der Schiffsbeleihungswert nicht den um mindestens 25 Prozent geminderten Neubaupreis oder ebenso geminderten Kaufpreis überschreiten.</w:t>
      </w:r>
    </w:p>
    <w:p>
      <w:r>
        <w:t xml:space="preserve">(5) Die Ermittlung des Schiffsbeleihungswerts für ein Schiffsbauwerk hat nach Maßgabe des § 13 zu erfolgen.</w:t>
      </w:r>
    </w:p>
    <w:p>
      <w:r>
        <w:rPr>
          <w:color w:val="555555"/>
          <w:sz w:val="17"/>
        </w:rPr>
        <w:t xml:space="preserve">Zitiervorschlag: § 4 SchiffsBelWertV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https://recht.nulegal.eu/gesetze/SchiffsBelWertV/4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