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SchiffsBelWertV — Grundsatz der Schiffsbeleihungswertermittlung</w:t>
      </w:r>
    </w:p>
    <w:p>
      <w:r>
        <w:rPr>
          <w:color w:val="555555"/>
          <w:sz w:val="18"/>
        </w:rPr>
        <w:t xml:space="preserve">Schiffsbeleihungswertermittlungsverordnung</w:t>
      </w:r>
    </w:p>
    <w:p>
      <w:r>
        <w:rPr>
          <w:color w:val="555555"/>
          <w:sz w:val="18"/>
        </w:rPr>
        <w:t xml:space="preserve">Stand: 10.06.2019 (konsolidierte Textfassung, kein amtliches Inkrafttretensdatum)</w:t>
      </w:r>
    </w:p>
    <w:p>
      <w:r>
        <w:t xml:space="preserve">(1) Der Wert, der der Beleihung zugrunde gelegt wird (Schiffsbeleihungswert), ist der Wert des Schiffes oder Schiffsbauwerks, der erfahrungsgemäß unabhängig von vorübergehenden, etwa konjunkturell bedingten Wertschwankungen am maßgeblichen Markt und unter Ausschaltung von spekulativen Elementen bei einer Veräußerung voraussichtlich erzielt werden kann.</w:t>
      </w:r>
    </w:p>
    <w:p>
      <w:r>
        <w:t xml:space="preserve">(2) Bei der Ermittlung des Schiffsbeleihungswerts sind die dauernden Eigenschaften des Schiffes, sein Alter und seine Einsatzmöglichkeiten zu berücksichtigen.</w:t>
      </w:r>
    </w:p>
    <w:p>
      <w:r>
        <w:rPr>
          <w:color w:val="555555"/>
          <w:sz w:val="17"/>
        </w:rPr>
        <w:t xml:space="preserve">Zitiervorschlag: § 3 SchiffsBelWertV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https://recht.nulegal.eu/gesetze/SchiffsBelWertV/3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