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SchiffsBelWertV — Gegenstand der Wertermittlung</w:t>
      </w:r>
    </w:p>
    <w:p>
      <w:r>
        <w:rPr>
          <w:color w:val="555555"/>
          <w:sz w:val="18"/>
        </w:rPr>
        <w:t xml:space="preserve">Schiffsbeleihungswertermittlungsverordnung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Gegenstand der Schiffsbeleihungswertermittlung sind Schiffe und Schiffsbauwerke, die in einem öffentlichen Register eingetragen sind.</w:t>
      </w:r>
    </w:p>
    <w:p>
      <w:r>
        <w:rPr>
          <w:color w:val="555555"/>
          <w:sz w:val="17"/>
        </w:rPr>
        <w:t xml:space="preserve">Zitiervorschlag: § 2 SchiffsBelWertV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https://recht.nulegal.eu/gesetze/SchiffsBelWertV/2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