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SchiffbMstrV — Inkrafttreten</w:t>
      </w:r>
    </w:p>
    <w:p>
      <w:r>
        <w:rPr>
          <w:color w:val="555555"/>
          <w:sz w:val="18"/>
        </w:rPr>
        <w:t xml:space="preserve">Schiffbauermeisterverordnung</w:t>
      </w:r>
    </w:p>
    <w:p>
      <w:r>
        <w:rPr>
          <w:color w:val="555555"/>
          <w:sz w:val="18"/>
        </w:rPr>
        <w:t xml:space="preserve">Historische Fassung: Stand 10.06.2019 bis 01.09.2021. Dies ist nicht die aktuelle Fassung.</w:t>
      </w:r>
    </w:p>
    <w:p>
      <w:r>
        <w:t xml:space="preserve">(1) Diese Verordnung tritt am 1. Dezember 1996 in Kraft.</w:t>
      </w:r>
    </w:p>
    <w:p>
      <w:r>
        <w:t xml:space="preserve">(2) Die auf Grund des § 122 der Handwerksordnung weiter anzuwendenden Vorschriften sind, soweit sie Gegenstände dieser Verordnung regeln, nicht mehr anzuwenden.</w:t>
      </w:r>
    </w:p>
    <w:p>
      <w:r>
        <w:rPr>
          <w:color w:val="555555"/>
          <w:sz w:val="17"/>
        </w:rPr>
        <w:t xml:space="preserve">Zitiervorschlag: § 8 SchiffbMstrV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https://recht.nulegal.eu/gesetze/SchiffbMstrV/8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