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9 SchiedsG</w:t>
      </w:r>
    </w:p>
    <w:p>
      <w:r>
        <w:rPr>
          <w:color w:val="555555"/>
          <w:sz w:val="18"/>
        </w:rPr>
        <w:t xml:space="preserve">Gesetz über die Schiedsstellen in den Gemeinden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Die Tätigkeit der Schiedsperson im Schlichtungsverfahren wird von den Behörden der Justizverwaltung, insbesondere hinsichtlich ihrer fach- und zeitgerechten Durchführung beaufsichtigt.</w:t>
      </w:r>
    </w:p>
    <w:p>
      <w:r>
        <w:t xml:space="preserve">(2) Die Schiedsperson untersteht unmittelbar der Aufsicht des Direktors des Kreisgerichts, soweit es ihre Tätigkeit im Rechtspflegebereich betrifft.</w:t>
      </w:r>
    </w:p>
    <w:p>
      <w:r>
        <w:rPr>
          <w:color w:val="555555"/>
          <w:sz w:val="17"/>
        </w:rPr>
        <w:t xml:space="preserve">Zitiervorschlag: § 9 SchiedsG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https://recht.nulegal.eu/gesetze/SchiedsG/9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