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Schiedsperson ist ihres Amtes zu entheben, wenn die Voraussetzungen ihrer Wahl gemäß § 3 dieses Gesetzes nicht mehr vorliegen. Sie kann ferner aus wichtigem Grund ihres Amtes enthoben werden. Ein wichtiger Grund liegt insbesondere vor, wenn die Schiedsperson</w:t>
      </w:r>
    </w:p>
    <w:p>
      <w:pPr>
        <w:ind w:left="420"/>
      </w:pPr>
      <w:r>
        <w:t xml:space="preserve">- ihre Pflichten gröblich verletzt hat,</w:t>
      </w:r>
    </w:p>
    <w:p>
      <w:pPr>
        <w:ind w:left="420"/>
      </w:pPr>
      <w:r>
        <w:t xml:space="preserve">- sich als unwürdig erwiesen hat,</w:t>
      </w:r>
    </w:p>
    <w:p>
      <w:pPr>
        <w:ind w:left="420"/>
      </w:pPr>
      <w:r>
        <w:t xml:space="preserve">- ihr Amt nicht mehr ordnungsgemäß ausüben kann.</w:t>
      </w:r>
    </w:p>
    <w:p>
      <w:r>
        <w:t xml:space="preserve">(2) Über die Amtsenthebung entscheidet auf Antrag des Direktors des Kreisgerichts nach Anhörung der Schiedsperson und des Leiters der Gemeindeverwaltung der Präsident des Bezirksgerichts.</w:t>
      </w:r>
    </w:p>
    <w:p>
      <w:r>
        <w:rPr>
          <w:color w:val="555555"/>
          <w:sz w:val="17"/>
        </w:rPr>
        <w:t xml:space="preserve">Zitiervorschlag: § 8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