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zum Zeitpunkt des Inkrafttretens dieses Gesetzes bei den gesellschaftlichen Gerichten anhängigen Verfahren werden in dem Stand, in dem sie sich befinden, an das Kreisgericht abgegeben; Übergabeentscheidungen sind dem übergebenden Organ zurückzugeben.</w:t>
      </w:r>
    </w:p>
    <w:p>
      <w:r>
        <w:t xml:space="preserve">(2) Aus zum Zeitpunkt des Inkrafttretens dieses Gesetzes für vollstreckbar erklärten Entscheidungen gesellschaftlicher Gerichte findet die Zwangsvollstreckung statt.</w:t>
      </w:r>
    </w:p>
    <w:p>
      <w:r>
        <w:rPr>
          <w:color w:val="555555"/>
          <w:sz w:val="17"/>
        </w:rPr>
        <w:t xml:space="preserve">Zitiervorschlag: § 57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