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 Inkrafttreten dieses Gesetzes bestehenden Zuständigkeitsbereiche der Schiedskommissionen bestehen als Bereiche einer Schiedsstelle fort, soweit die Gemeindevertretung keine abweichende Regelung trifft.</w:t>
      </w:r>
    </w:p>
    <w:p>
      <w:r>
        <w:t xml:space="preserve">(2) Die Schiedsstellen in den Gemeinden sind innerhalb von 2 Monaten nach Inkrafttreten dieses Gesetzes zu bilden.</w:t>
      </w:r>
    </w:p>
    <w:p>
      <w:r>
        <w:rPr>
          <w:color w:val="555555"/>
          <w:sz w:val="17"/>
        </w:rPr>
        <w:t xml:space="preserve">Zitiervorschlag: § 56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