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53 SchiedsG</w:t>
      </w:r>
    </w:p>
    <w:p>
      <w:r>
        <w:rPr>
          <w:color w:val="555555"/>
          <w:sz w:val="18"/>
        </w:rPr>
        <w:t xml:space="preserve">Gesetz über die Schiedsstellen in den Gemeinden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Einwendungen des Kostenschuldners gegen die Kostenrechnung oder gegen Maßnahmen nach § 48 Abs. 2 und 4 entscheidet das Kreisgericht, in dessen Bereich die Schiedsstelle ihren Sitz hat, durch richterlichen Beschluß. Die Entscheidung ist nicht anfechtbar. Kosten werden nicht erhoben. Auslagen der Parteien werden nicht erstattet.</w:t>
      </w:r>
    </w:p>
    <w:p>
      <w:r>
        <w:rPr>
          <w:color w:val="555555"/>
          <w:sz w:val="17"/>
        </w:rPr>
        <w:t xml:space="preserve">Zitiervorschlag: § 53 SchiedsG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https://recht.nulegal.eu/gesetze/SchiedsG/53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53 SchiedsG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