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52 SchiedsG</w:t>
      </w:r>
    </w:p>
    <w:p>
      <w:r>
        <w:rPr>
          <w:color w:val="555555"/>
          <w:sz w:val="18"/>
        </w:rPr>
        <w:t xml:space="preserve">Gesetz über die Schiedsstellen in den Gemeinden</w:t>
      </w:r>
    </w:p>
    <w:p>
      <w:r>
        <w:rPr>
          <w:color w:val="555555"/>
          <w:sz w:val="18"/>
        </w:rPr>
        <w:t xml:space="preserve">Stand: 10.06.2019 (konsolidierte Textfassung, kein amtliches Inkrafttretensdatum)</w:t>
      </w:r>
    </w:p>
    <w:p>
      <w:r>
        <w:t xml:space="preserve">(1) Die Schiedsstelle kann ausnahmsweise, wenn das mit Rücksicht auf die wirtschaftlichen Verhältnisse des Zahlungspflichtigen oder sonst aus Billigkeitsgründen geboten erscheint, die Gebühren ermäßigen oder von ihrer Erhebung ganz oder teilweise absehen. Aus denselben Gründen kann von der Erhebung von Auslagen, mit Ausnahme der in § 51 Abs. 2 genannten, abgesehen werden.</w:t>
      </w:r>
    </w:p>
    <w:p>
      <w:r>
        <w:t xml:space="preserve">(2) Den Ausfall der Schreibauslagen trägt die Schiedsstelle, während notwendige bare Auslagen von der Gemeinde als Sachkosten der Schiedsstelle zu tragen sind.</w:t>
      </w:r>
    </w:p>
    <w:p>
      <w:r>
        <w:rPr>
          <w:color w:val="555555"/>
          <w:sz w:val="17"/>
        </w:rPr>
        <w:t xml:space="preserve">Zitiervorschlag: § 52 SchiedsG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https://recht.nulegal.eu/gesetze/SchiedsG/52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52 SchiedsG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