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gewählte Schiedsperson bedarf der Bestätigung durch den Direktor des Kreisgerichts, in dessen Bereich die Schiedsstelle ihren Sitz hat.</w:t>
      </w:r>
    </w:p>
    <w:p>
      <w:r>
        <w:t xml:space="preserve">(2) Der Direktor des Kreisgerichts hat zu prüfen, ob bei der Wahl der Schiedsperson die gesetzlichen Voraussetzungen gemäß § 3 dieses Gesetzes beachtet worden sind.</w:t>
      </w:r>
    </w:p>
    <w:p>
      <w:r>
        <w:t xml:space="preserve">(3) Die Bestätigung der Schiedsperson ist dem Gewählten und dem Leiter der Gemeindeverwaltung schriftlich mitzuteilen.</w:t>
      </w:r>
    </w:p>
    <w:p>
      <w:r>
        <w:t xml:space="preserve">(4) Die Entscheidung, durch die die Bestätigung einer Schiedsperson versagt wird, ist zu begründen und dem Bürger sowie dem Leiter der Gemeindeverwaltung schriftlich mitzuteilen.</w:t>
      </w:r>
    </w:p>
    <w:p>
      <w:r>
        <w:rPr>
          <w:color w:val="555555"/>
          <w:sz w:val="17"/>
        </w:rPr>
        <w:t xml:space="preserve">Zitiervorschlag: § 5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