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 und Ordnungsgelder werden aufgrund einer von der Schiedsperson unterschriebenen und dem Kostenschuldner mitgeteilten Kostenrechnung eingefordert.</w:t>
      </w:r>
    </w:p>
    <w:p>
      <w:r>
        <w:t xml:space="preserve">(2) Zahlt der Kostenschuldner nicht oder nicht vollständig innerhalb der Zahlungsfrist, werden die Kosten und Ordnungsgelder auf Antrag der Schiedsperson im Verwaltungswege beigetrieben.</w:t>
      </w:r>
    </w:p>
    <w:p>
      <w:r>
        <w:rPr>
          <w:color w:val="555555"/>
          <w:sz w:val="17"/>
        </w:rPr>
        <w:t xml:space="preserve">Zitiervorschlag: § 49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