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Gebühren werden mit der Beendigung des gebührenpflichtigen Geschäfts, Auslagen mit ihrem Entstehen fällig.</w:t>
      </w:r>
    </w:p>
    <w:p>
      <w:r>
        <w:t xml:space="preserve">(2) Die Schiedsstelle soll ihre Tätigkeit grundsätzlich von der vorherigen Zahlung der voraussichtlich entstehenden Gebühren und Auslagen abhängig machen.</w:t>
      </w:r>
    </w:p>
    <w:p>
      <w:r>
        <w:t xml:space="preserve">(3) Die Schiedsstelle, die den Antrag im Wege der Amtshilfe aufnimmt, hat lediglich Anspruch auf Ersatz ihrer Auslagen und fordert nur hierfür einen Vorschuß ein.</w:t>
      </w:r>
    </w:p>
    <w:p>
      <w:r>
        <w:t xml:space="preserve">(4) Dem Kostenschuldner zu erteilende Bescheinigungen, Ausfertigungen und Abschriften sowie Urkunden, die der Kostenschuldner eingereicht hat, kann die Schiedsstelle zurückhalten, bis die in der Angelegenheit entstandenen Kosten gezahlt sind.</w:t>
      </w:r>
    </w:p>
    <w:p>
      <w:r>
        <w:rPr>
          <w:color w:val="555555"/>
          <w:sz w:val="17"/>
        </w:rPr>
        <w:t xml:space="preserve">Zitiervorschlag: § 48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