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46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Schiedsstelle erhebt für ihre Tätigkeit Kosten (Gebühren und Auslagen) nur nach diesem Gesetz.</w:t>
      </w:r>
    </w:p>
    <w:p>
      <w:r>
        <w:t xml:space="preserve">(2) Der Vorsitzende der Schiedsstelle erledigt die Kassengeschäfte und erstellt die Kostenrechnungen. Er kann damit einen seiner Stellvertreter beauftragen.</w:t>
      </w:r>
    </w:p>
    <w:p>
      <w:r>
        <w:rPr>
          <w:color w:val="555555"/>
          <w:sz w:val="17"/>
        </w:rPr>
        <w:t xml:space="preserve">Zitiervorschlag: § 46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https://recht.nulegal.eu/gesetze/SchiedsG/46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46 SchiedsG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