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SchiedsG</w:t>
      </w:r>
    </w:p>
    <w:p>
      <w:r>
        <w:rPr>
          <w:color w:val="555555"/>
          <w:sz w:val="18"/>
        </w:rPr>
        <w:t xml:space="preserve">Gesetz über die Schiedsstellen in den Gemeinden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Schiedsperson wird als Vorsitzender oder Stellvertreter einer Schiedsstelle von der Gemeindevertretung auf fünf Jahre gewählt.</w:t>
      </w:r>
    </w:p>
    <w:p>
      <w:r>
        <w:t xml:space="preserve">(2) Das Amt der Schiedsperson endet vorzeitig, wenn die Schiedsstelle aufgelöst wird.</w:t>
      </w:r>
    </w:p>
    <w:p>
      <w:r>
        <w:rPr>
          <w:color w:val="555555"/>
          <w:sz w:val="17"/>
        </w:rPr>
        <w:t xml:space="preserve">Zitiervorschlag: § 4 SchiedsG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https://recht.nulegal.eu/gesetze/SchiedsG/4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