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37 SchiedsG</w:t>
      </w:r>
    </w:p>
    <w:p>
      <w:r>
        <w:rPr>
          <w:color w:val="555555"/>
          <w:sz w:val="18"/>
        </w:rPr>
        <w:t xml:space="preserve">Gesetz über die Schiedsstellen in den Gemeinden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Schiedsstelle darf den Sühneversuch nur ablehnen, wenn die Parteien auch nach Unterbrechung oder Vertagung der Schlichtungsverhandlung ihre Identität nicht nachweisen.</w:t>
      </w:r>
    </w:p>
    <w:p>
      <w:r>
        <w:rPr>
          <w:color w:val="555555"/>
          <w:sz w:val="17"/>
        </w:rPr>
        <w:t xml:space="preserve">Zitiervorschlag: § 37 SchiedsG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https://recht.nulegal.eu/gesetze/SchiedsG/37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