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SchiedsG</w:t>
      </w:r>
    </w:p>
    <w:p>
      <w:r>
        <w:rPr>
          <w:color w:val="555555"/>
          <w:sz w:val="18"/>
        </w:rPr>
        <w:t xml:space="preserve">Gesetz über die Schiedsstellen in den Gemeinden</w:t>
      </w:r>
    </w:p>
    <w:p>
      <w:r>
        <w:rPr>
          <w:color w:val="555555"/>
          <w:sz w:val="18"/>
        </w:rPr>
        <w:t xml:space="preserve">Stand: 10.06.2019 (konsolidierte Textfassung, kein amtliches Inkrafttretensdatum)</w:t>
      </w:r>
    </w:p>
    <w:p>
      <w:r>
        <w:t xml:space="preserve">(1) Das im Falle der Erhebung der Privatklage zuständige Gericht kann auf Antrag gestatten, daß von dem Sühneversuch abgesehen wird, wenn die antragstellende Partei von der Gemeinde, in der die Verhandlung stattfinden müßte, soweit entfernt wohnt, daß ihr unter Berücksichtigung ihrer Verhältnisse und nach den Umständen des Falles nicht zugemutet werden kann, zu der Verhandlung zu erscheinen. Das Gericht kann stattdessen den Antragsteller oder die Antragstellerin ermächtigen, sich in der Schlichtungsverhandlung vertreten zu lassen; der Vertreter legt der Schiedsstelle den gerichtlichen Beschluß sowie eine schriftliche Vollmacht vor.</w:t>
      </w:r>
    </w:p>
    <w:p>
      <w:r>
        <w:t xml:space="preserve">(2) Die Parteien können die Entscheidung des Gerichts mit der sofortigen Beschwerde nach den Vorschriften der Strafprozeßordnung anfechten.</w:t>
      </w:r>
    </w:p>
    <w:p>
      <w:r>
        <w:rPr>
          <w:color w:val="555555"/>
          <w:sz w:val="17"/>
        </w:rPr>
        <w:t xml:space="preserve">Zitiervorschlag: § 36 SchiedsG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https://recht.nulegal.eu/gesetze/SchiedsG/36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