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35 SchiedsG</w:t>
      </w:r>
    </w:p>
    <w:p>
      <w:r>
        <w:rPr>
          <w:color w:val="555555"/>
          <w:sz w:val="18"/>
        </w:rPr>
        <w:t xml:space="preserve">Gesetz über die Schiedsstellen in den Gemeinden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Schiedsstelle ist die Vergleichsbehörde im Sinne des § 380 Abs. 1 Strafprozeßordnung. Sie ist zuständig für die dort genannten Vergehen.</w:t>
      </w:r>
    </w:p>
    <w:p>
      <w:r>
        <w:t xml:space="preserve">(2) Der Sühneversuch wird im Rahmen eines Schlichtungsverfahrens durchgeführt. Für dieses Verfahren gelten die Vorschriften des 2. Abschnitts, soweit in den §§ 36 bis 39 keine abweichenden Bestimmungen getroffen sind.</w:t>
      </w:r>
    </w:p>
    <w:p>
      <w:r>
        <w:rPr>
          <w:color w:val="555555"/>
          <w:sz w:val="17"/>
        </w:rPr>
        <w:t xml:space="preserve">Zitiervorschlag: § 35 SchiedsG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https://recht.nulegal.eu/gesetze/SchiedsG/35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35 SchiedsG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