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SchiedsG</w:t>
      </w:r>
    </w:p>
    <w:p>
      <w:r>
        <w:rPr>
          <w:color w:val="555555"/>
          <w:sz w:val="18"/>
        </w:rPr>
        <w:t xml:space="preserve">Gesetz über die Schiedsstellen in den Gemeinden</w:t>
      </w:r>
    </w:p>
    <w:p>
      <w:r>
        <w:rPr>
          <w:color w:val="555555"/>
          <w:sz w:val="18"/>
        </w:rPr>
        <w:t xml:space="preserve">Stand: 10.06.2019 (konsolidierte Textfassung, kein amtliches Inkrafttretensdatum)</w:t>
      </w:r>
    </w:p>
    <w:p>
      <w:r>
        <w:t xml:space="preserve">(1) Aus dem vor einer Schiedsstelle geschlossenen Vergleich findet die Zwangsvollstreckung statt.</w:t>
      </w:r>
    </w:p>
    <w:p>
      <w:r>
        <w:t xml:space="preserve">(2) Die Vorschriften der Zivilprozeßordnung über die Zwangsvollstreckung aus Vergleichen, die vor einer durch die Landesjustizverwaltung eingerichteten oder anerkannten Gütestelle abgeschlossen sind, finden entsprechende Anwendung. Die Vollstreckungsklausel auf der Ausfertigung erteilt das Kreisgericht, in dessen Bereich die Schiedsstelle ihren Sitz hat.</w:t>
      </w:r>
    </w:p>
    <w:p>
      <w:r>
        <w:t xml:space="preserve">(3) Auf der Urschrift des Protokolls ist zu vermerken, wann und von wem sowie für und gegen wen die Vollstreckungsklausel erteilt worden ist. Das Kreisgericht benachrichtigt die Schiedsstelle von der Erteilung der Vollstreckungsklausel, wenn es das Protokoll nicht verwahrt.</w:t>
      </w:r>
    </w:p>
    <w:p>
      <w:r>
        <w:rPr>
          <w:color w:val="555555"/>
          <w:sz w:val="17"/>
        </w:rPr>
        <w:t xml:space="preserve">Zitiervorschlag: § 34 SchiedsG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https://recht.nulegal.eu/gesetze/SchiedsG/34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