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Protokoll ist den Parteien vorzulesen oder zur Durchsicht vorzulegen und von ihnen zu genehmigen. Dies ist in dem Protokoll zu vermerken.</w:t>
      </w:r>
    </w:p>
    <w:p>
      <w:r>
        <w:t xml:space="preserve">(2) Das Protokoll ist von den Schiedspersonen und den Parteien eigenhändig zu unterschreiben. Nach Vollzug der Unterschriften wird ein Vergleich wirksam.</w:t>
      </w:r>
    </w:p>
    <w:p>
      <w:r>
        <w:t xml:space="preserve">(3) Erklärt eine Partei, daß sie nicht schreiben könne, so muß die Schiedsperson das Handzeichen der schreibunkundigen Person durch einen besonderen Vermerk beglaubigen.</w:t>
      </w:r>
    </w:p>
    <w:p>
      <w:r>
        <w:rPr>
          <w:color w:val="555555"/>
          <w:sz w:val="17"/>
        </w:rPr>
        <w:t xml:space="preserve">Zitiervorschlag: § 32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