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SchiedsG</w:t>
      </w:r>
    </w:p>
    <w:p>
      <w:r>
        <w:rPr>
          <w:color w:val="555555"/>
          <w:sz w:val="18"/>
        </w:rPr>
        <w:t xml:space="preserve">Gesetz über die Schiedsstellen in den Gemeinden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Schiedsperson muß nach ihrer Persönlichkeit und ihren Fähigkeiten für das Amt geeignet sein. Sie muß das Wahlrecht besitzen.</w:t>
      </w:r>
    </w:p>
    <w:p>
      <w:r>
        <w:t xml:space="preserve">(2) In das Amt soll nicht berufen werden,</w:t>
      </w:r>
    </w:p>
    <w:p>
      <w:pPr>
        <w:ind w:left="420"/>
      </w:pPr>
      <w:r>
        <w:t xml:space="preserve">- wer nicht das 25. Lebensjahr vollendet hat,</w:t>
      </w:r>
    </w:p>
    <w:p>
      <w:pPr>
        <w:ind w:left="420"/>
      </w:pPr>
      <w:r>
        <w:t xml:space="preserve">- wer nicht im Bereich der Schiedsstelle wohnt.</w:t>
      </w:r>
    </w:p>
    <w:p>
      <w:r>
        <w:rPr>
          <w:color w:val="555555"/>
          <w:sz w:val="17"/>
        </w:rPr>
        <w:t xml:space="preserve">Zitiervorschlag: § 3 SchiedsG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https://recht.nulegal.eu/gesetze/SchiedsG/3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