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SchiedsG</w:t>
      </w:r>
    </w:p>
    <w:p>
      <w:r>
        <w:rPr>
          <w:color w:val="555555"/>
          <w:sz w:val="18"/>
        </w:rPr>
        <w:t xml:space="preserve">Gesetz über die Schiedsstellen in den Gemeinden</w:t>
      </w:r>
    </w:p>
    <w:p>
      <w:r>
        <w:rPr>
          <w:color w:val="555555"/>
          <w:sz w:val="18"/>
        </w:rPr>
        <w:t xml:space="preserve">Stand: 10.06.2019 (konsolidierte Textfassung, kein amtliches Inkrafttretensdatum)</w:t>
      </w:r>
    </w:p>
    <w:p>
      <w:r>
        <w:t xml:space="preserve">(1) Die Schiedsstelle leitet das Schlichtungsverfahren auf Antrag einer Partei ein. Der Antrag kann zurückgenommen werden, nach Beginn der Schlichtungsverhandlung jedoch nur, wenn der Antragsgegner oder die Antragsgegnerin nicht widerspricht.</w:t>
      </w:r>
    </w:p>
    <w:p>
      <w:r>
        <w:t xml:space="preserve">(2) Endet das Schlichtungsverfahren nicht mit einem Vergleich (§ 31), so bedarf ein erneuter Antrag in derselben Sache der schriftlichen Zustimmung des Antragsgegners oder der Antragsgegnerin. Die Zustimmung ist bei der Antragstellung vorzulegen.</w:t>
      </w:r>
    </w:p>
    <w:p>
      <w:r>
        <w:rPr>
          <w:color w:val="555555"/>
          <w:sz w:val="17"/>
        </w:rPr>
        <w:t xml:space="preserve">Zitiervorschlag: § 21 SchiedsG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https://recht.nulegal.eu/gesetze/SchiedsG/21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