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18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Schiedsstelle wird nicht oder nicht weiter tätig, wenn die zu protokollierende Vereinbarung nur in notarieller Form gültig ist; die Parteien auch nach Unterbrechung oder Vertagung der Schlichtungsverhandlung ihre Identität nicht nachweisen; Bedenken gegen die Geschäftsfähigkeit oder Verfügungsfähigkeit der Parteien oder gegen die Legitimation ihrer Vertreter bestehen.</w:t>
      </w:r>
    </w:p>
    <w:p>
      <w:r>
        <w:t xml:space="preserve">(2) Die Schiedsperson soll nicht tätig werden, wenn der Rechtsstreit bei Gericht anhängig ist; der Rechtsstreit bei einer von berufsständigen Körperschaften oder von vergleichbaren Organisationen eingerichteten Schieds-, Schlichtungs- oder Einigungsstellen anhängig ist.</w:t>
      </w:r>
    </w:p>
    <w:p>
      <w:r>
        <w:rPr>
          <w:color w:val="555555"/>
          <w:sz w:val="17"/>
        </w:rPr>
        <w:t xml:space="preserve">Zitiervorschlag: § 18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https://recht.nulegal.eu/gesetze/SchiedsG/18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18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