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SchiedsG</w:t>
      </w:r>
    </w:p>
    <w:p>
      <w:r>
        <w:rPr>
          <w:color w:val="555555"/>
          <w:sz w:val="18"/>
        </w:rPr>
        <w:t xml:space="preserve">Gesetz über die Schiedsstellen in den Gemeinden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bürgerlichen Rechtsstreitigkeiten findet das Schlichtungsverfahren über vermögensrechtliche Ansprüche statt, soweit nicht die Schiedsstellen für Arbeitsrecht oder die Kammern für Arbeitsrecht der Kreisgerichte zuständig sind.</w:t>
      </w:r>
    </w:p>
    <w:p>
      <w:r>
        <w:rPr>
          <w:color w:val="555555"/>
          <w:sz w:val="17"/>
        </w:rPr>
        <w:t xml:space="preserve">Zitiervorschlag: § 13 SchiedsG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https://recht.nulegal.eu/gesetze/SchiedsG/13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