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SchiedKrPflV (Sachsen)</w:t>
      </w:r>
    </w:p>
    <w:p>
      <w:r>
        <w:rPr>
          <w:color w:val="555555"/>
          <w:sz w:val="18"/>
        </w:rPr>
        <w:t xml:space="preserve">Verordnung der Sächsischen Staatsregierung über die Schiedsstelle für die Festsetzung der Krankenhauspflegesätze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18 a Abs. 4 des Krankenhausfinanzierungsgesetzes in der Fassung der Bekanntmachung vom 23. Dezember 1985 (BGBl. I 1986, S. 33), zuletzt geändert durch Artikel 1 des Einigungsvertragsgesetzes vom 23. September 1990 (BGBl. II, S. 885) in Verbindung mit Anlage I, Kapitel VIII, Sachgebiet G, Abschnitt II Nr. 2 des Einigungsvertrages vom 31. August 1990 (BGBl. II, S. 885, 1053), wird verordnet:</w:t>
      </w:r>
    </w:p>
    <w:p>
      <w:r>
        <w:rPr>
          <w:color w:val="555555"/>
          <w:sz w:val="17"/>
        </w:rPr>
        <w:t xml:space="preserve">Zitiervorschlag: Eingangsformel SchiedKrPflV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https://recht.nulegal.eu/gesetze/SchiedKrPflV/eingangsformel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