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SchiedKrPflV (Sachsen)</w:t>
      </w:r>
    </w:p>
    <w:p>
      <w:r>
        <w:rPr>
          <w:color w:val="555555"/>
          <w:sz w:val="18"/>
        </w:rPr>
        <w:t xml:space="preserve">Verordnung der Sächsischen Staatsregierung über die Schiedsstelle für die Festsetzung der Krankenhauspflegesätze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Schiedsstelle besteht neben dem neutralen Vorsitzenden aus sechs Vertretern der Krankenhäuser, fünf Vertretern der Träger der gesetzlichen Krankenversicherung und einem Vertreter der privaten Krankenversicherung. Jeder Vertreter hat zwei Stellvertreter.</w:t>
      </w:r>
    </w:p>
    <w:p>
      <w:r>
        <w:t xml:space="preserve">(2) Die Vertreter der gesetzlichen Krankenversicherung und deren Stellvertreter werden wie folgt bestellt:</w:t>
      </w:r>
    </w:p>
    <w:p>
      <w:r>
        <w:t xml:space="preserve">Je einen Vertreter und dessen Stellvertreter bestellen</w:t>
      </w:r>
    </w:p>
    <w:p>
      <w:r>
        <w:t xml:space="preserve">der AOK-Landesverband Sachsen,</w:t>
      </w:r>
    </w:p>
    <w:p>
      <w:r>
        <w:t xml:space="preserve">der BKK-Landesverband Sachsen,</w:t>
      </w:r>
    </w:p>
    <w:p>
      <w:r>
        <w:t xml:space="preserve">der IKK-Landesverband Sachsen,</w:t>
      </w:r>
    </w:p>
    <w:p>
      <w:r>
        <w:t xml:space="preserve">die Landesvertretung Sachsen des Verbandes der Angestellten-Krankenkassen e.V. und des Arbeiter-Ersatzkassen-Verbandes e.V.</w:t>
      </w:r>
    </w:p>
    <w:p>
      <w:r>
        <w:t xml:space="preserve">die Landwirtschaftlichen Krankenkassen und die Bundesknappschaft gemeinsam.</w:t>
      </w:r>
    </w:p>
    <w:p>
      <w:r>
        <w:rPr>
          <w:color w:val="555555"/>
          <w:sz w:val="17"/>
        </w:rPr>
        <w:t xml:space="preserve">Zitiervorschlag: § 2 SchiedKrPflV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https://recht.nulegal.eu/gesetze/SchiedKrPflV/2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SchiedKrPflV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