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SchiLichtrMstrV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Historische Fassung: Stand 10.06.2019 bis 02.09.2022. Dies ist nicht die aktuelle Fassung.</w:t>
      </w:r>
    </w:p>
    <w:p>
      <w:r>
        <w:t xml:space="preserve">Auf Grund des § 51a Abs. 2 in Verbindung mit Abs. 1 der Handwerksordnung in der Fassung der Bekanntmachung vom 24. September 1998 (BGBl. I S. 3074, 2006 I S. 2095),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SchiLichtrMstrV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https://recht.nulegal.eu/gesetze/SchiLichtrMstrV/eingangsformel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