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SchiLichtrMstrV — Meisterprüfungsprojekt</w:t>
      </w:r>
    </w:p>
    <w:p>
      <w:r>
        <w:rPr>
          <w:color w:val="555555"/>
          <w:sz w:val="18"/>
        </w:rPr>
        <w:t xml:space="preserve">Schilder- und Lichtreklameherstellermeisterverordnung</w:t>
      </w:r>
    </w:p>
    <w:p>
      <w:r>
        <w:rPr>
          <w:color w:val="555555"/>
          <w:sz w:val="18"/>
        </w:rPr>
        <w:t xml:space="preserve">Historische Fassung: Stand 10.06.2019 bis 02.09.2022. Dies ist nicht die aktuelle Fassung.</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 körperhaftes, beleuchtetes Werbeelement zu entwerfen, zu planen und zu kalkulieren. Auf dieser Grundlage ist das Werbeelement unter Berücksichtigung verschiedener Materialien und unterschiedlicher Fertigungstechniken herzustellen. Das Werbeelement ist zu installieren und in Betrieb zu nehmen. Die durchgeführten Arbeiten sind zu protokollieren.</w:t>
      </w:r>
    </w:p>
    <w:p>
      <w:r>
        <w:t xml:space="preserve">(4) Die Entwurfs-, Planungs- und Kalkulationsunterlagen werden mit 30 Prozent, die durchgeführten Arbeiten mit 60 Prozent und das Prüfprotokoll mit 10 Prozent gewichtet.</w:t>
      </w:r>
    </w:p>
    <w:p>
      <w:r>
        <w:rPr>
          <w:color w:val="555555"/>
          <w:sz w:val="17"/>
        </w:rPr>
        <w:t xml:space="preserve">Zitiervorschlag: § 4 SchiLichtrMstrV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https://recht.nulegal.eu/gesetze/SchiLichtrMstrV/4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