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SchiLichtrMstrV — Gliederung des Teils I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10.06.2019 bis 02.09.2022. Dies ist nicht die aktuelle Fassung.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