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SchiLichtrMstrV — Übergangsvorschrift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13.03.2020 bis 02.09.2022. Dies ist nicht die aktuelle Fassung.</w:t>
      </w:r>
    </w:p>
    <w:p>
      <w:r>
        <w:t xml:space="preserve">Ein Prüfungsverfahren, das vor Ablauf des 13. Februar 2020 begonnen worden ist, ist nach den bis zum Ablauf dieses Tages geltenden Vorschriften durch den nach § 47 der Handwerksordnung errichteten Meisterprüfungsausschuss fortzuführen.</w:t>
      </w:r>
    </w:p>
    <w:p>
      <w:r>
        <w:rPr>
          <w:color w:val="555555"/>
          <w:sz w:val="17"/>
        </w:rPr>
        <w:t xml:space="preserve">Zitiervorschlag: § 10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