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SchiLichtrMstrV — Gliederung und Inhalt der Meisterprüfung</w:t>
      </w:r>
    </w:p>
    <w:p>
      <w:r>
        <w:rPr>
          <w:color w:val="555555"/>
          <w:sz w:val="18"/>
        </w:rPr>
        <w:t xml:space="preserve">Schilder- und Lichtreklameherstellermeisterverordnung</w:t>
      </w:r>
    </w:p>
    <w:p>
      <w:r>
        <w:rPr>
          <w:color w:val="555555"/>
          <w:sz w:val="18"/>
        </w:rPr>
        <w:t xml:space="preserve">Historische Fassung: Stand 13.03.2020 bis 02.09.2022. Dies ist nicht die aktuelle Fassung.</w:t>
      </w:r>
    </w:p>
    <w:p>
      <w:r>
        <w:t xml:space="preserve">Die Meisterprüfung im zulassungspflichtigen Schilder- und Lichtreklamehersteller-Handwerk umfasst folgende selbständige Prüfungsteile:</w:t>
      </w:r>
    </w:p>
    <w:p>
      <w:pPr>
        <w:ind w:left="420"/>
      </w:pPr>
      <w:r>
        <w:t xml:space="preserve">1. die Prüfung der meisterhaften Verrichtung wesentlicher Tätigkeiten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SchiLichtrMstrV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https://recht.nulegal.eu/gesetze/SchiLichtrMstrV/1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