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SchiLichtMstrV</w:t>
      </w:r>
    </w:p>
    <w:p>
      <w:r>
        <w:rPr>
          <w:color w:val="555555"/>
          <w:sz w:val="18"/>
        </w:rPr>
        <w:t xml:space="preserve">Schilder- und Lichtreklameherstellermeisterverordnung</w:t>
      </w:r>
    </w:p>
    <w:p>
      <w:r>
        <w:rPr>
          <w:color w:val="555555"/>
          <w:sz w:val="18"/>
        </w:rPr>
        <w:t xml:space="preserve">Stand: 01.09.2022 (konsolidierte Textfassung, kein amtliches Inkrafttretensdatum)</w:t>
      </w:r>
    </w:p>
    <w:p>
      <w:r>
        <w:t xml:space="preserve">Auf Grund des § 45 Absatz 1 der Handwerksordnung in der Fassung der Bekanntmachung vom 24. September 1998 (BGBl. I S. 3074; 2006 I S. 2095), der zuletzt durch Artikel 283 der Verordnung vom 31. August 2015 (BGBl. I S. 1474) geändert worden ist, in Verbindung mit § 1 Absatz 2 des Zuständigkeitsanpassungsgesetzes vom 16. August 2002 (BGBl. I S. 3165) und dem Organisationserlass vom 8. Dezember 2021 (BGBl. I S. 5176), verordnet das Bundesministerium für Wirtschaft und Klimaschutz im Einvernehmen mit dem Bundesministerium für Bildung und Forschung:</w:t>
      </w:r>
    </w:p>
    <w:p>
      <w:r>
        <w:rPr>
          <w:color w:val="555555"/>
          <w:sz w:val="17"/>
        </w:rPr>
        <w:t xml:space="preserve">Zitiervorschlag: Eingangsformel SchiLichtMstrV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https://recht.nulegal.eu/gesetze/SchiLichtMstrV/eingangsformel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