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SchiLichtMstrV — Ziel und Gliederung der Prüfung in Teil II</w:t>
      </w:r>
    </w:p>
    <w:p>
      <w:r>
        <w:rPr>
          <w:color w:val="555555"/>
          <w:sz w:val="18"/>
        </w:rPr>
        <w:t xml:space="preserve">Schilder- und Lichtreklameherstellermeisterverordnung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In Teil II der Meisterprüfung hat der Prüfling umfängliche und zusammenhängende berufliche Aufgaben zu lösen und dabei nachzuweisen, dass er die erforderlichen fachtheoretischen Kenntnisse im Schilder- und Lichtreklamehersteller-Handwerk anwenden kann. Grundlage für den Nachweis bilden die Qualifikationen in den folgenden Handlungsfeldern:</w:t>
      </w:r>
    </w:p>
    <w:p>
      <w:pPr>
        <w:ind w:left="420"/>
      </w:pPr>
      <w:r>
        <w:t xml:space="preserve">1. nach Maßgabe des § 9 „Anforderungen von Kunden eines Betriebs im Schilder- und Lichtreklamehersteller-Handwerk analysieren, Lösungen erarbeiten und anbieten“,</w:t>
      </w:r>
    </w:p>
    <w:p>
      <w:pPr>
        <w:ind w:left="420"/>
      </w:pPr>
      <w:r>
        <w:t xml:space="preserve">2. nach Maßgabe des § 10 „Leistungen eines Betriebs im Schilder- und Lichtreklamehersteller-Handwerk erbringen, kontrollieren und übergeben“ und</w:t>
      </w:r>
    </w:p>
    <w:p>
      <w:pPr>
        <w:ind w:left="420"/>
      </w:pPr>
      <w:r>
        <w:t xml:space="preserve">3. nach Maßgabe des § 11 „Einen Betrieb im Schilder- und Lichtreklamehersteller-Handwerk führen und organisieren“.</w:t>
      </w:r>
    </w:p>
    <w:p>
      <w:r>
        <w:t xml:space="preserve">(2) Der Prüfling hat in jedem der drei Handlungsfelder mindestens eine fallbezogene Aufgabe zu bearbeiten, die den Anforderungen des Absatzes 1 entspricht. Bei jeder Aufgabenstellung können die Qualifikationen der drei Handlungsfelder handlungsfeldübergreifend verknüpft werden.</w:t>
      </w:r>
    </w:p>
    <w:p>
      <w:r>
        <w:t xml:space="preserve">(3) Die Aufgaben sind schriftlich zu bearbeiten.</w:t>
      </w:r>
    </w:p>
    <w:p>
      <w:r>
        <w:t xml:space="preserve">(4) Für die Bearbeitung der Aufgaben stehen dem Prüfling in jedem Handlungsfeld 3 Stunden zur Verfügung. Eine Prüfungsdauer von 6 Stunden an einem Tag darf nicht überschritten werden.</w:t>
      </w:r>
    </w:p>
    <w:p>
      <w:r>
        <w:rPr>
          <w:color w:val="555555"/>
          <w:sz w:val="17"/>
        </w:rPr>
        <w:t xml:space="preserve">Zitiervorschlag: § 8 SchiLichtMstrV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https://recht.nulegal.eu/gesetze/SchiLichtMstrV/8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