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SchiLichtMstrV — Gewichtung, Bestehen der Prüfung in Teil I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Das Meisterprüfungsprojekt, das Fachgespräch und die Situationsaufgabe werden gesondert bewertet. Bei der Berechnung des Gesamtergebnisses der Prüfung in Teil I der Meisterprüfung nach Maßgabe der Vorschriften der Meisterprüfungsverfahrensverordnung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