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SchiLichtMstrV — Fachgespräch</w:t>
      </w:r>
    </w:p>
    <w:p>
      <w:r>
        <w:rPr>
          <w:color w:val="555555"/>
          <w:sz w:val="18"/>
        </w:rPr>
        <w:t xml:space="preserve">Schilder- und Lichtreklameherstellermeisterverordnung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Im Fachgespräch hat der Prüfling nachzuweisen, dass er in der Lage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Kunden zu beraten und dabei den jeweiligen Kundenwunsch sowie wirtschaftliche, rechtliche, technische und gestalterische Gesichtspunkte in das Beratungsgespräch einzubeziehen,</w:t>
      </w:r>
    </w:p>
    <w:p>
      <w:pPr>
        <w:ind w:left="420"/>
      </w:pPr>
      <w:r>
        <w:t xml:space="preserve">3. sein Vorgehen bei der Planung und Durchführung des Meisterprüfungsprojekts zu begründen sowie</w:t>
      </w:r>
    </w:p>
    <w:p>
      <w:pPr>
        <w:ind w:left="420"/>
      </w:pPr>
      <w:r>
        <w:t xml:space="preserve">4. mit dem Meisterprüfungsprojekt verbundene berufsbezogene Probleme sowie deren Lösungen darzustellen und dabei aktuelle Entwicklungen im Schilder- und Lichtreklamehersteller-Handwerk zu berücksichtigen.</w:t>
      </w:r>
    </w:p>
    <w:p>
      <w:r>
        <w:t xml:space="preserve">(2) Das Fachgespräch soll höchstens 30 Minuten dauern.</w:t>
      </w:r>
    </w:p>
    <w:p>
      <w:r>
        <w:rPr>
          <w:color w:val="555555"/>
          <w:sz w:val="17"/>
        </w:rPr>
        <w:t xml:space="preserve">Zitiervorschlag: § 5 SchiLichtMstrV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https://recht.nulegal.eu/gesetze/SchiLichtMstrV/5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