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SchiLichtMstrV — Inkrafttreten, Außerkrafttreten</w:t>
      </w:r>
    </w:p>
    <w:p>
      <w:r>
        <w:rPr>
          <w:color w:val="555555"/>
          <w:sz w:val="18"/>
        </w:rPr>
        <w:t xml:space="preserve">Schilder- und Lichtreklameherstellermeisterverordnung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Diese Verordnung tritt am 1. September 2022 in Kraft. Gleichzeitig tritt die Schilder- und Lichtreklameherstellermeisterverordnung vom 18. Juni 2007 (BGBl. I S. 1173), die zuletzt durch Artikel 2 Absatz 62 der Verordnung vom 18. Januar 2022 (BGBl. I S. 39) geändert worden ist, außer Kraft.</w:t>
      </w:r>
    </w:p>
    <w:p>
      <w:r>
        <w:rPr>
          <w:color w:val="555555"/>
          <w:sz w:val="17"/>
        </w:rPr>
        <w:t xml:space="preserve">Zitiervorschlag: § 15 SchiLichtMstrV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https://recht.nulegal.eu/gesetze/SchiLichtMstrV/15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