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SchiLichtMstrV — Gewichtung, Bestehen der Prüfung in Teil II</w:t>
      </w:r>
    </w:p>
    <w:p>
      <w:r>
        <w:rPr>
          <w:color w:val="555555"/>
          <w:sz w:val="18"/>
        </w:rPr>
        <w:t xml:space="preserve">Schilder- und Lichtreklameherstellermeisterverordnung</w:t>
      </w:r>
    </w:p>
    <w:p>
      <w:r>
        <w:rPr>
          <w:color w:val="555555"/>
          <w:sz w:val="18"/>
        </w:rPr>
        <w:t xml:space="preserve">Stand: 01.09.2022 (konsolidierte Textfassung, kein amtliches Inkrafttretensdatum)</w:t>
      </w:r>
    </w:p>
    <w:p>
      <w:r>
        <w:t xml:space="preserve">(1) Bei der Berechnung des Gesamtergebnisses der Prüfung in Teil II der Meisterprüfung nach Maßgabe der Vorschriften der Meisterprüfungsverfahrensverordnung werden die Bewertungen der Handlungsfelder nach den §§ 9 bis 11 gleich gewichtet.</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rPr>
          <w:color w:val="555555"/>
          <w:sz w:val="17"/>
        </w:rPr>
        <w:t xml:space="preserve">Zitiervorschlag: § 12 SchiLichtMstrV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https://recht.nulegal.eu/gesetze/SchiLichtMstrV/12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