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SchfZustVO (Nordrhein-Westfalen)</w:t>
      </w:r>
    </w:p>
    <w:p>
      <w:r>
        <w:rPr>
          <w:color w:val="555555"/>
          <w:sz w:val="18"/>
        </w:rPr>
        <w:t xml:space="preserve">Schornsteinfeger-ZuständigkeitsVO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Verwaltungsbehörden im Sinne von § 1 Absatz 3 und 4, § 19 Absatz 5, § 20, § 21 Absatz 1 und 2, § 24 bis § 26 des Schornsteinfeger-Handwerksgesetzes sind die Kreisordnungsbehörden.</w:t>
      </w:r>
    </w:p>
    <w:p>
      <w:r>
        <w:rPr>
          <w:color w:val="555555"/>
          <w:sz w:val="17"/>
        </w:rPr>
        <w:t xml:space="preserve">Zitiervorschlag: § 3 SchfZustVO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https://recht.nulegal.eu/gesetze/SchfZustVO/3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