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SchfZustVO (Nordrhein-Westfalen)</w:t>
      </w:r>
    </w:p>
    <w:p>
      <w:r>
        <w:rPr>
          <w:color w:val="555555"/>
          <w:sz w:val="18"/>
        </w:rPr>
        <w:t xml:space="preserve">Schornsteinfeger-ZuständigkeitsVO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Zuständige Verwaltungsbehörden im Sinne von § 3 Absatz 2, §§ 7 bis 9a, §§ 10 bis 12, § 19 Absatz 5 und § 21 Absatz 3 des Schornsteinfeger-Handwerksgesetzes sind die Bezirksregierungen.</w:t>
      </w:r>
    </w:p>
    <w:p>
      <w:r>
        <w:rPr>
          <w:color w:val="555555"/>
          <w:sz w:val="17"/>
        </w:rPr>
        <w:t xml:space="preserve">Zitiervorschlag: § 2 SchfZustVO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https://recht.nulegal.eu/gesetze/SchfZustVO/2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