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SchfZV (Brandenburg) — Inkrafttreten, Außerkrafttreten</w:t>
      </w:r>
    </w:p>
    <w:p>
      <w:r>
        <w:rPr>
          <w:color w:val="555555"/>
          <w:sz w:val="18"/>
        </w:rPr>
        <w:t xml:space="preserve">Schornsteinfegerzuständigkeitsverordnung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Verordnung tritt am Tag nach der Verkündung in Kraft. Gleichzeitig tritt die Schornsteinfegerzuständigkeitsverordnung vom 8. Juni 2009 (GVBl. II S. 315), die zuletzt durch die Verordnung vom 18. März 2021 (GVBl. II Nr. 30 S. 2) geändert worden ist, außer Kraft.</w:t>
      </w:r>
    </w:p>
    <w:p>
      <w:r>
        <w:t xml:space="preserve">Potsdam, den 10. April 2025</w:t>
      </w:r>
    </w:p>
    <w:p>
      <w:r>
        <w:t xml:space="preserve">Der Minister für Wirtschaft, Arbeit,</w:t>
      </w:r>
    </w:p>
    <w:p>
      <w:r>
        <w:t xml:space="preserve">Energie und Klimaschutz</w:t>
      </w:r>
    </w:p>
    <w:p>
      <w:r>
        <w:t xml:space="preserve">Daniel Keller</w:t>
      </w:r>
    </w:p>
    <w:p>
      <w:r>
        <w:rPr>
          <w:color w:val="555555"/>
          <w:sz w:val="17"/>
        </w:rPr>
        <w:t xml:space="preserve">Zitiervorschlag: § 3 SchfZV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https://recht.nulegal.eu/gesetze/SchfZV/3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