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SchfHwG — Öffentliche Ausschreibung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hat die Bestellung zum bevollmächtigten Bezirksschornsteinfeger öffentlich auszuschreiben. Sie kann</w:t>
      </w:r>
    </w:p>
    <w:p>
      <w:pPr>
        <w:ind w:left="420"/>
      </w:pPr>
      <w:r>
        <w:t xml:space="preserve">1. die Bestellung für einen oder mehrere bestimmte Bezirke oder</w:t>
      </w:r>
    </w:p>
    <w:p>
      <w:pPr>
        <w:ind w:left="420"/>
      </w:pPr>
      <w:r>
        <w:t xml:space="preserve">2. das Statusamt eines bevollmächtigten Bezirksschornsteinfegers ausschreiben.</w:t>
      </w:r>
    </w:p>
    <w:p>
      <w:r>
        <w:t xml:space="preserve">Im Falle der Ausschreibung des Statusamtes nach Satz 2 Nummer 2 weist die zuständige Behörde dem ausgewählten Bewerber einen Bezirk zu.</w:t>
      </w:r>
    </w:p>
    <w:p>
      <w:r>
        <w:rPr>
          <w:color w:val="555555"/>
          <w:sz w:val="17"/>
        </w:rPr>
        <w:t xml:space="preserve">Zitiervorschlag: § 9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