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SchfHwG — Anwendungsbestimmungen</w:t>
      </w:r>
    </w:p>
    <w:p>
      <w:r>
        <w:rPr>
          <w:color w:val="555555"/>
          <w:sz w:val="18"/>
        </w:rPr>
        <w:t xml:space="preserve">Schornsteinfeger-Handwerksgesetz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12a ist ab dem 1. Januar 2018 anzuwenden.</w:t>
      </w:r>
    </w:p>
    <w:p>
      <w:r>
        <w:rPr>
          <w:color w:val="555555"/>
          <w:sz w:val="17"/>
        </w:rPr>
        <w:t xml:space="preserve">Zitiervorschlag: § 45 SchfHwG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https://recht.nulegal.eu/gesetze/SchfHwG/45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